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FACSIMILE DICHIARA</w:t>
      </w:r>
      <w:bookmarkStart w:id="0" w:name="_GoBack"/>
      <w:bookmarkEnd w:id="0"/>
      <w:r w:rsidRPr="009312AE">
        <w:rPr>
          <w:rFonts w:ascii="Calibri" w:hAnsi="Calibri"/>
          <w:kern w:val="32"/>
        </w:rPr>
        <w:t xml:space="preserve">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CB53FB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 </w:t>
      </w:r>
      <w:r w:rsidRPr="00CB53FB">
        <w:rPr>
          <w:rStyle w:val="BLOCKBOLD"/>
          <w:rFonts w:ascii="Calibri" w:hAnsi="Calibri"/>
        </w:rPr>
        <w:t>Servizi di pulizia per lo svolgimento dell’esame di idoneità professionale per l’esercizio della revisione legale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CB53F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 w:rsidRPr="00CB53FB">
      <w:rPr>
        <w:rFonts w:ascii="Calibri" w:hAnsi="Calibri"/>
        <w:sz w:val="18"/>
        <w:szCs w:val="18"/>
      </w:rPr>
      <w:t>Servizi di pulizia per lo svolgimento dell’esame di idoneità professionale per l’esercizio della revisione legale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53FB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2019-09-26T15:14:00Z</dcterms:modified>
</cp:coreProperties>
</file>